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09" w:rsidRDefault="008D3EB9">
      <w:pPr>
        <w:rPr>
          <w:rFonts w:ascii="Times New Roman" w:eastAsia="仿宋" w:hAnsi="仿宋" w:cs="Times New Roman"/>
          <w:sz w:val="32"/>
          <w:szCs w:val="32"/>
        </w:rPr>
      </w:pPr>
      <w:r w:rsidRPr="008D3EB9">
        <w:rPr>
          <w:rFonts w:ascii="Times New Roman" w:eastAsia="仿宋" w:hAnsi="仿宋" w:cs="Times New Roman"/>
          <w:sz w:val="32"/>
          <w:szCs w:val="32"/>
        </w:rPr>
        <w:t>附件</w:t>
      </w:r>
      <w:r w:rsidRPr="008D3EB9">
        <w:rPr>
          <w:rFonts w:ascii="Times New Roman" w:eastAsia="仿宋" w:hAnsi="Times New Roman" w:cs="Times New Roman"/>
          <w:sz w:val="32"/>
          <w:szCs w:val="32"/>
        </w:rPr>
        <w:t>1</w:t>
      </w:r>
      <w:r w:rsidRPr="008D3EB9">
        <w:rPr>
          <w:rFonts w:ascii="Times New Roman" w:eastAsia="仿宋" w:hAnsi="仿宋" w:cs="Times New Roman"/>
          <w:sz w:val="32"/>
          <w:szCs w:val="32"/>
        </w:rPr>
        <w:t>：需求采购清单</w:t>
      </w:r>
    </w:p>
    <w:p w:rsidR="008D3EB9" w:rsidRPr="008D3EB9" w:rsidRDefault="008D3EB9" w:rsidP="008D3EB9">
      <w:pPr>
        <w:pStyle w:val="a3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8D3EB9">
        <w:rPr>
          <w:rFonts w:ascii="华文中宋" w:eastAsia="华文中宋" w:hAnsi="华文中宋" w:cs="Times New Roman"/>
          <w:b/>
          <w:sz w:val="36"/>
          <w:szCs w:val="36"/>
        </w:rPr>
        <w:t>需求采购清单</w:t>
      </w:r>
    </w:p>
    <w:p w:rsidR="008D3EB9" w:rsidRPr="008D3EB9" w:rsidRDefault="008D3EB9" w:rsidP="008D3EB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D3EB9">
        <w:rPr>
          <w:rFonts w:ascii="Times New Roman" w:eastAsia="仿宋" w:hAnsi="Times New Roman" w:cs="Times New Roman"/>
          <w:sz w:val="32"/>
          <w:szCs w:val="32"/>
        </w:rPr>
        <w:t>1.</w:t>
      </w:r>
      <w:r w:rsidRPr="008D3EB9">
        <w:rPr>
          <w:rFonts w:ascii="Times New Roman" w:eastAsia="仿宋" w:hAnsi="仿宋" w:cs="Times New Roman"/>
          <w:sz w:val="32"/>
          <w:szCs w:val="32"/>
        </w:rPr>
        <w:t>服务项目：灭鼠、灭蟑、灭蚊、灭蝇。</w:t>
      </w:r>
    </w:p>
    <w:p w:rsidR="008D3EB9" w:rsidRPr="008D3EB9" w:rsidRDefault="008D3EB9" w:rsidP="008D3EB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D3EB9">
        <w:rPr>
          <w:rFonts w:ascii="Times New Roman" w:eastAsia="仿宋" w:hAnsi="Times New Roman" w:cs="Times New Roman"/>
          <w:sz w:val="32"/>
          <w:szCs w:val="32"/>
        </w:rPr>
        <w:t>2.</w:t>
      </w:r>
      <w:r w:rsidRPr="008D3EB9">
        <w:rPr>
          <w:rFonts w:ascii="Times New Roman" w:eastAsia="仿宋" w:hAnsi="仿宋" w:cs="Times New Roman"/>
          <w:sz w:val="32"/>
          <w:szCs w:val="32"/>
        </w:rPr>
        <w:t>服务场所：中国科学院广州地球化学研究所园区内。</w:t>
      </w:r>
    </w:p>
    <w:p w:rsidR="008D3EB9" w:rsidRPr="008D3EB9" w:rsidRDefault="008D3EB9" w:rsidP="008D3EB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D3EB9">
        <w:rPr>
          <w:rFonts w:ascii="Times New Roman" w:eastAsia="仿宋" w:hAnsi="Times New Roman" w:cs="Times New Roman"/>
          <w:sz w:val="32"/>
          <w:szCs w:val="32"/>
        </w:rPr>
        <w:t>3.</w:t>
      </w:r>
      <w:r w:rsidRPr="008D3EB9">
        <w:rPr>
          <w:rFonts w:ascii="Times New Roman" w:eastAsia="仿宋" w:hAnsi="仿宋" w:cs="Times New Roman"/>
          <w:sz w:val="32"/>
          <w:szCs w:val="32"/>
        </w:rPr>
        <w:t>服务期限：</w:t>
      </w:r>
      <w:r w:rsidRPr="008D3EB9">
        <w:rPr>
          <w:rFonts w:ascii="Times New Roman" w:eastAsia="仿宋" w:hAnsi="Times New Roman" w:cs="Times New Roman"/>
          <w:sz w:val="32"/>
          <w:szCs w:val="32"/>
        </w:rPr>
        <w:t>24</w:t>
      </w:r>
      <w:r w:rsidRPr="008D3EB9">
        <w:rPr>
          <w:rFonts w:ascii="Times New Roman" w:eastAsia="仿宋" w:hAnsi="仿宋" w:cs="Times New Roman"/>
          <w:sz w:val="32"/>
          <w:szCs w:val="32"/>
        </w:rPr>
        <w:t>个月。</w:t>
      </w:r>
    </w:p>
    <w:p w:rsidR="008D3EB9" w:rsidRPr="008D3EB9" w:rsidRDefault="008D3EB9" w:rsidP="008D3EB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D3EB9">
        <w:rPr>
          <w:rFonts w:ascii="Times New Roman" w:eastAsia="仿宋" w:hAnsi="Times New Roman" w:cs="Times New Roman"/>
          <w:sz w:val="32"/>
          <w:szCs w:val="32"/>
        </w:rPr>
        <w:t>4.</w:t>
      </w:r>
      <w:r w:rsidRPr="008D3EB9">
        <w:rPr>
          <w:rFonts w:ascii="Times New Roman" w:eastAsia="仿宋" w:hAnsi="仿宋" w:cs="Times New Roman"/>
          <w:sz w:val="32"/>
          <w:szCs w:val="32"/>
        </w:rPr>
        <w:t>服务价格：按次付费。</w:t>
      </w:r>
    </w:p>
    <w:p w:rsidR="008D3EB9" w:rsidRPr="008D3EB9" w:rsidRDefault="008D3EB9" w:rsidP="008D3EB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D3EB9">
        <w:rPr>
          <w:rFonts w:ascii="Times New Roman" w:eastAsia="仿宋" w:hAnsi="Times New Roman" w:cs="Times New Roman"/>
          <w:sz w:val="32"/>
          <w:szCs w:val="32"/>
        </w:rPr>
        <w:t>5.</w:t>
      </w:r>
      <w:r w:rsidRPr="008D3EB9">
        <w:rPr>
          <w:rFonts w:ascii="Times New Roman" w:eastAsia="仿宋" w:hAnsi="仿宋" w:cs="Times New Roman"/>
          <w:sz w:val="32"/>
          <w:szCs w:val="32"/>
        </w:rPr>
        <w:t>服务方式：</w:t>
      </w:r>
      <w:r w:rsidRPr="008D3EB9">
        <w:rPr>
          <w:rFonts w:ascii="Times New Roman" w:eastAsia="仿宋" w:hAnsi="Times New Roman" w:cs="Times New Roman"/>
          <w:sz w:val="32"/>
          <w:szCs w:val="32"/>
        </w:rPr>
        <w:t>11</w:t>
      </w:r>
      <w:r w:rsidRPr="008D3EB9">
        <w:rPr>
          <w:rFonts w:ascii="Times New Roman" w:eastAsia="仿宋" w:hAnsi="仿宋" w:cs="Times New Roman"/>
          <w:sz w:val="32"/>
          <w:szCs w:val="32"/>
        </w:rPr>
        <w:t>月</w:t>
      </w:r>
      <w:r w:rsidRPr="008D3EB9">
        <w:rPr>
          <w:rFonts w:ascii="Times New Roman" w:eastAsia="仿宋" w:hAnsi="Times New Roman" w:cs="Times New Roman"/>
          <w:sz w:val="32"/>
          <w:szCs w:val="32"/>
        </w:rPr>
        <w:t>-3</w:t>
      </w:r>
      <w:r w:rsidRPr="008D3EB9">
        <w:rPr>
          <w:rFonts w:ascii="Times New Roman" w:eastAsia="仿宋" w:hAnsi="仿宋" w:cs="Times New Roman"/>
          <w:sz w:val="32"/>
          <w:szCs w:val="32"/>
        </w:rPr>
        <w:t>月每月</w:t>
      </w:r>
      <w:r w:rsidRPr="008D3EB9">
        <w:rPr>
          <w:rFonts w:ascii="Times New Roman" w:eastAsia="仿宋" w:hAnsi="Times New Roman" w:cs="Times New Roman"/>
          <w:sz w:val="32"/>
          <w:szCs w:val="32"/>
        </w:rPr>
        <w:t>1</w:t>
      </w:r>
      <w:r w:rsidRPr="008D3EB9">
        <w:rPr>
          <w:rFonts w:ascii="Times New Roman" w:eastAsia="仿宋" w:hAnsi="仿宋" w:cs="Times New Roman"/>
          <w:sz w:val="32"/>
          <w:szCs w:val="32"/>
        </w:rPr>
        <w:t>次，</w:t>
      </w:r>
      <w:r w:rsidRPr="008D3EB9">
        <w:rPr>
          <w:rFonts w:ascii="Times New Roman" w:eastAsia="仿宋" w:hAnsi="Times New Roman" w:cs="Times New Roman"/>
          <w:sz w:val="32"/>
          <w:szCs w:val="32"/>
        </w:rPr>
        <w:t>4</w:t>
      </w:r>
      <w:r w:rsidRPr="008D3EB9">
        <w:rPr>
          <w:rFonts w:ascii="Times New Roman" w:eastAsia="仿宋" w:hAnsi="仿宋" w:cs="Times New Roman"/>
          <w:sz w:val="32"/>
          <w:szCs w:val="32"/>
        </w:rPr>
        <w:t>月</w:t>
      </w:r>
      <w:r w:rsidRPr="008D3EB9">
        <w:rPr>
          <w:rFonts w:ascii="Times New Roman" w:eastAsia="仿宋" w:hAnsi="Times New Roman" w:cs="Times New Roman"/>
          <w:sz w:val="32"/>
          <w:szCs w:val="32"/>
        </w:rPr>
        <w:t>-10</w:t>
      </w:r>
      <w:r w:rsidRPr="008D3EB9">
        <w:rPr>
          <w:rFonts w:ascii="Times New Roman" w:eastAsia="仿宋" w:hAnsi="仿宋" w:cs="Times New Roman"/>
          <w:sz w:val="32"/>
          <w:szCs w:val="32"/>
        </w:rPr>
        <w:t>月每月不低于两次，</w:t>
      </w:r>
      <w:r w:rsidR="00D90560">
        <w:rPr>
          <w:rFonts w:ascii="Times New Roman" w:eastAsia="仿宋" w:hAnsi="仿宋" w:cs="Times New Roman"/>
          <w:sz w:val="32"/>
          <w:szCs w:val="32"/>
        </w:rPr>
        <w:t>以实际服务次数进行结算，</w:t>
      </w:r>
      <w:r w:rsidRPr="008D3EB9">
        <w:rPr>
          <w:rFonts w:ascii="Times New Roman" w:eastAsia="仿宋" w:hAnsi="仿宋" w:cs="Times New Roman"/>
          <w:sz w:val="32"/>
          <w:szCs w:val="32"/>
        </w:rPr>
        <w:t>必要时随叫随到。</w:t>
      </w:r>
      <w:r w:rsidR="002D7376">
        <w:rPr>
          <w:rFonts w:ascii="Times New Roman" w:eastAsia="仿宋" w:hAnsi="仿宋" w:cs="Times New Roman"/>
          <w:sz w:val="32"/>
          <w:szCs w:val="32"/>
        </w:rPr>
        <w:t>每次服务前需要沟通好时间，服务结束后需要做好照片留档。</w:t>
      </w:r>
    </w:p>
    <w:p w:rsidR="008D3EB9" w:rsidRPr="008D3EB9" w:rsidRDefault="008D3EB9" w:rsidP="008D3EB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D3EB9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仿宋" w:cs="Times New Roman" w:hint="eastAsia"/>
          <w:sz w:val="32"/>
          <w:szCs w:val="32"/>
        </w:rPr>
        <w:t>.</w:t>
      </w:r>
      <w:r w:rsidRPr="008D3EB9">
        <w:rPr>
          <w:rFonts w:ascii="Times New Roman" w:eastAsia="仿宋" w:hAnsi="仿宋" w:cs="Times New Roman"/>
          <w:sz w:val="32"/>
          <w:szCs w:val="32"/>
        </w:rPr>
        <w:t>消杀药品要求</w:t>
      </w:r>
    </w:p>
    <w:p w:rsidR="008D3EB9" w:rsidRDefault="008D3EB9" w:rsidP="008D3EB9">
      <w:pPr>
        <w:spacing w:line="60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8D3EB9">
        <w:rPr>
          <w:rFonts w:ascii="Times New Roman" w:eastAsia="仿宋" w:hAnsi="仿宋" w:cs="Times New Roman"/>
          <w:sz w:val="32"/>
          <w:szCs w:val="32"/>
        </w:rPr>
        <w:t>服务质量及使用药品符合国家标准，不得使用假药、国家禁用的药物，并须确保药物来源和质量正当可靠。使用的药物必须符合</w:t>
      </w:r>
      <w:r w:rsidRPr="008D3EB9">
        <w:rPr>
          <w:rFonts w:ascii="Times New Roman" w:eastAsia="仿宋" w:hAnsi="Times New Roman" w:cs="Times New Roman"/>
          <w:sz w:val="32"/>
          <w:szCs w:val="32"/>
        </w:rPr>
        <w:t xml:space="preserve"> GB/T27777-2011</w:t>
      </w:r>
      <w:r w:rsidRPr="008D3EB9">
        <w:rPr>
          <w:rFonts w:ascii="Times New Roman" w:eastAsia="仿宋" w:hAnsi="仿宋" w:cs="Times New Roman"/>
          <w:sz w:val="32"/>
          <w:szCs w:val="32"/>
        </w:rPr>
        <w:t>《杀鼠剂安全使用准则》与</w:t>
      </w:r>
      <w:r w:rsidRPr="008D3EB9">
        <w:rPr>
          <w:rFonts w:ascii="Times New Roman" w:eastAsia="仿宋" w:hAnsi="Times New Roman" w:cs="Times New Roman"/>
          <w:sz w:val="32"/>
          <w:szCs w:val="32"/>
        </w:rPr>
        <w:t xml:space="preserve"> GB/T27779-2011</w:t>
      </w:r>
      <w:r w:rsidRPr="008D3EB9">
        <w:rPr>
          <w:rFonts w:ascii="Times New Roman" w:eastAsia="仿宋" w:hAnsi="仿宋" w:cs="Times New Roman"/>
          <w:sz w:val="32"/>
          <w:szCs w:val="32"/>
        </w:rPr>
        <w:t>《卫生杀虫剂安全使用准则》</w:t>
      </w:r>
      <w:r w:rsidRPr="00291839">
        <w:rPr>
          <w:rFonts w:ascii="Times New Roman" w:eastAsia="仿宋" w:hAnsi="仿宋" w:cs="Times New Roman"/>
          <w:sz w:val="32"/>
          <w:szCs w:val="32"/>
        </w:rPr>
        <w:t>要求</w:t>
      </w:r>
      <w:r w:rsidR="00260584" w:rsidRPr="00291839">
        <w:rPr>
          <w:rFonts w:ascii="Times New Roman" w:eastAsia="仿宋" w:hAnsi="仿宋" w:cs="Times New Roman"/>
          <w:sz w:val="32"/>
          <w:szCs w:val="32"/>
        </w:rPr>
        <w:t>的低毒药物</w:t>
      </w:r>
      <w:r w:rsidRPr="008D3EB9">
        <w:rPr>
          <w:rFonts w:ascii="Times New Roman" w:eastAsia="仿宋" w:hAnsi="仿宋" w:cs="Times New Roman"/>
          <w:sz w:val="32"/>
          <w:szCs w:val="32"/>
        </w:rPr>
        <w:t>，达到</w:t>
      </w:r>
      <w:r w:rsidRPr="008D3EB9">
        <w:rPr>
          <w:rFonts w:ascii="Times New Roman" w:eastAsia="仿宋" w:hAnsi="Times New Roman" w:cs="Times New Roman"/>
          <w:sz w:val="32"/>
          <w:szCs w:val="32"/>
        </w:rPr>
        <w:t>“</w:t>
      </w:r>
      <w:r w:rsidRPr="008D3EB9">
        <w:rPr>
          <w:rFonts w:ascii="Times New Roman" w:eastAsia="仿宋" w:hAnsi="仿宋" w:cs="Times New Roman"/>
          <w:sz w:val="32"/>
          <w:szCs w:val="32"/>
        </w:rPr>
        <w:t>安全、高效、环保</w:t>
      </w:r>
      <w:r w:rsidRPr="008D3EB9">
        <w:rPr>
          <w:rFonts w:ascii="Times New Roman" w:eastAsia="仿宋" w:hAnsi="Times New Roman" w:cs="Times New Roman"/>
          <w:sz w:val="32"/>
          <w:szCs w:val="32"/>
        </w:rPr>
        <w:t>”</w:t>
      </w:r>
      <w:r w:rsidRPr="008D3EB9">
        <w:rPr>
          <w:rFonts w:ascii="Times New Roman" w:eastAsia="仿宋" w:hAnsi="仿宋" w:cs="Times New Roman"/>
          <w:sz w:val="32"/>
          <w:szCs w:val="32"/>
        </w:rPr>
        <w:t>并交替使用药物防止产生耐药性的要求。为保证用药质量，确保消杀工作顺利进行，使用药物必须按照以下标准和要求执行。</w:t>
      </w:r>
    </w:p>
    <w:tbl>
      <w:tblPr>
        <w:tblStyle w:val="a4"/>
        <w:tblW w:w="10433" w:type="dxa"/>
        <w:jc w:val="center"/>
        <w:tblLook w:val="04A0" w:firstRow="1" w:lastRow="0" w:firstColumn="1" w:lastColumn="0" w:noHBand="0" w:noVBand="1"/>
      </w:tblPr>
      <w:tblGrid>
        <w:gridCol w:w="820"/>
        <w:gridCol w:w="2127"/>
        <w:gridCol w:w="3828"/>
        <w:gridCol w:w="1138"/>
        <w:gridCol w:w="2520"/>
      </w:tblGrid>
      <w:tr w:rsidR="00043055" w:rsidRPr="007708D7" w:rsidTr="00043055">
        <w:trPr>
          <w:jc w:val="center"/>
        </w:trPr>
        <w:tc>
          <w:tcPr>
            <w:tcW w:w="820" w:type="dxa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序号</w:t>
            </w:r>
          </w:p>
        </w:tc>
        <w:tc>
          <w:tcPr>
            <w:tcW w:w="2127" w:type="dxa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药品名称</w:t>
            </w:r>
          </w:p>
        </w:tc>
        <w:tc>
          <w:tcPr>
            <w:tcW w:w="3828" w:type="dxa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药品名称有效成分</w:t>
            </w:r>
          </w:p>
        </w:tc>
        <w:tc>
          <w:tcPr>
            <w:tcW w:w="1138" w:type="dxa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剂型</w:t>
            </w:r>
          </w:p>
        </w:tc>
        <w:tc>
          <w:tcPr>
            <w:tcW w:w="2520" w:type="dxa"/>
          </w:tcPr>
          <w:p w:rsidR="008D3EB9" w:rsidRPr="007708D7" w:rsidRDefault="008D3EB9" w:rsidP="007852D5">
            <w:pPr>
              <w:jc w:val="center"/>
              <w:rPr>
                <w:rFonts w:ascii="Times New Roman" w:hAnsi="Times New Roman" w:cs="Times New Roman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防治对象</w:t>
            </w:r>
          </w:p>
        </w:tc>
      </w:tr>
      <w:tr w:rsidR="008D3EB9" w:rsidRPr="007708D7" w:rsidTr="00043055">
        <w:trPr>
          <w:jc w:val="center"/>
        </w:trPr>
        <w:tc>
          <w:tcPr>
            <w:tcW w:w="8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127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高效氟氯氰菊酯</w:t>
            </w:r>
          </w:p>
        </w:tc>
        <w:tc>
          <w:tcPr>
            <w:tcW w:w="382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≥7.5%</w:t>
            </w: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高效氟氯氰菊酯</w:t>
            </w:r>
          </w:p>
        </w:tc>
        <w:tc>
          <w:tcPr>
            <w:tcW w:w="113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悬浮剂</w:t>
            </w:r>
          </w:p>
        </w:tc>
        <w:tc>
          <w:tcPr>
            <w:tcW w:w="25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hAnsi="Times New Roman" w:cs="Times New Roman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蚊、蝇</w:t>
            </w:r>
            <w:r w:rsid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、蟑螂</w:t>
            </w:r>
          </w:p>
        </w:tc>
      </w:tr>
      <w:tr w:rsidR="008D3EB9" w:rsidRPr="007708D7" w:rsidTr="00043055">
        <w:trPr>
          <w:jc w:val="center"/>
        </w:trPr>
        <w:tc>
          <w:tcPr>
            <w:tcW w:w="8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127" w:type="dxa"/>
            <w:vAlign w:val="center"/>
          </w:tcPr>
          <w:p w:rsidR="008D3EB9" w:rsidRPr="007708D7" w:rsidRDefault="00F613C2" w:rsidP="00F613C2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烯丙</w:t>
            </w:r>
            <w:r w:rsidR="008D3EB9"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·</w:t>
            </w: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氯菊</w:t>
            </w:r>
            <w:r w:rsidR="00030B38" w:rsidRPr="00030B38">
              <w:rPr>
                <w:rFonts w:ascii="Times New Roman" w:eastAsia="Noto Sans SC" w:hAnsi="Noto Sans SC" w:cs="Times New Roman" w:hint="eastAsia"/>
                <w:color w:val="000000"/>
                <w:sz w:val="27"/>
                <w:szCs w:val="27"/>
              </w:rPr>
              <w:t>酯</w:t>
            </w:r>
          </w:p>
        </w:tc>
        <w:tc>
          <w:tcPr>
            <w:tcW w:w="3828" w:type="dxa"/>
            <w:vAlign w:val="center"/>
          </w:tcPr>
          <w:p w:rsidR="008D3EB9" w:rsidRPr="007708D7" w:rsidRDefault="008D3EB9" w:rsidP="00F34D6D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≥10%</w:t>
            </w:r>
            <w:r w:rsidR="00F613C2" w:rsidRPr="00F613C2">
              <w:rPr>
                <w:rFonts w:ascii="Times New Roman" w:eastAsia="Noto Sans SC" w:hAnsi="Noto Sans SC" w:cs="Times New Roman" w:hint="eastAsia"/>
                <w:color w:val="000000"/>
                <w:sz w:val="27"/>
                <w:szCs w:val="27"/>
              </w:rPr>
              <w:t>烯丙•氯菊</w:t>
            </w:r>
            <w:r w:rsidR="00030B38" w:rsidRPr="00030B38">
              <w:rPr>
                <w:rFonts w:ascii="Times New Roman" w:eastAsia="Noto Sans SC" w:hAnsi="Noto Sans SC" w:cs="Times New Roman" w:hint="eastAsia"/>
                <w:color w:val="000000"/>
                <w:sz w:val="27"/>
                <w:szCs w:val="27"/>
              </w:rPr>
              <w:t>酯</w:t>
            </w:r>
          </w:p>
        </w:tc>
        <w:tc>
          <w:tcPr>
            <w:tcW w:w="113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水乳剂</w:t>
            </w:r>
          </w:p>
        </w:tc>
        <w:tc>
          <w:tcPr>
            <w:tcW w:w="25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hAnsi="Times New Roman" w:cs="Times New Roman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蚊、蝇</w:t>
            </w:r>
          </w:p>
        </w:tc>
      </w:tr>
      <w:tr w:rsidR="008D3EB9" w:rsidRPr="007708D7" w:rsidTr="00043055">
        <w:trPr>
          <w:jc w:val="center"/>
        </w:trPr>
        <w:tc>
          <w:tcPr>
            <w:tcW w:w="8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2127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杀虫颗粒剂</w:t>
            </w:r>
          </w:p>
        </w:tc>
        <w:tc>
          <w:tcPr>
            <w:tcW w:w="382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≥5%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吡丙醚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.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倍硫磷</w:t>
            </w:r>
          </w:p>
        </w:tc>
        <w:tc>
          <w:tcPr>
            <w:tcW w:w="113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颗粒剂</w:t>
            </w:r>
          </w:p>
        </w:tc>
        <w:tc>
          <w:tcPr>
            <w:tcW w:w="25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hAnsi="Times New Roman" w:cs="Times New Roman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蚊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(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幼虫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)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、蝇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(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幼虫</w:t>
            </w: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8D3EB9" w:rsidRPr="007708D7" w:rsidTr="00043055">
        <w:trPr>
          <w:jc w:val="center"/>
        </w:trPr>
        <w:tc>
          <w:tcPr>
            <w:tcW w:w="8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杀虫热雾剂</w:t>
            </w:r>
          </w:p>
        </w:tc>
        <w:tc>
          <w:tcPr>
            <w:tcW w:w="382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≥1.7%</w:t>
            </w: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高效氯氰菊酯残杀威</w:t>
            </w:r>
          </w:p>
        </w:tc>
        <w:tc>
          <w:tcPr>
            <w:tcW w:w="1138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热雾剂</w:t>
            </w:r>
          </w:p>
        </w:tc>
        <w:tc>
          <w:tcPr>
            <w:tcW w:w="2520" w:type="dxa"/>
            <w:vAlign w:val="center"/>
          </w:tcPr>
          <w:p w:rsidR="008D3EB9" w:rsidRPr="007708D7" w:rsidRDefault="008D3EB9" w:rsidP="007852D5">
            <w:pPr>
              <w:jc w:val="center"/>
              <w:rPr>
                <w:rFonts w:ascii="Times New Roman" w:hAnsi="Times New Roman" w:cs="Times New Roman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蚊、蝇、</w:t>
            </w:r>
            <w:r w:rsid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蟑螂</w:t>
            </w:r>
          </w:p>
        </w:tc>
      </w:tr>
      <w:tr w:rsidR="008D3EB9" w:rsidRPr="007708D7" w:rsidTr="00043055">
        <w:trPr>
          <w:jc w:val="center"/>
        </w:trPr>
        <w:tc>
          <w:tcPr>
            <w:tcW w:w="820" w:type="dxa"/>
            <w:vAlign w:val="center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2127" w:type="dxa"/>
            <w:vAlign w:val="center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溴鼠灵</w:t>
            </w:r>
          </w:p>
        </w:tc>
        <w:tc>
          <w:tcPr>
            <w:tcW w:w="3828" w:type="dxa"/>
            <w:vAlign w:val="center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  <w:t>≥0.005%</w:t>
            </w: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溴鼠灵</w:t>
            </w:r>
          </w:p>
        </w:tc>
        <w:tc>
          <w:tcPr>
            <w:tcW w:w="1138" w:type="dxa"/>
            <w:vAlign w:val="center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饵剂</w:t>
            </w:r>
          </w:p>
        </w:tc>
        <w:tc>
          <w:tcPr>
            <w:tcW w:w="2520" w:type="dxa"/>
            <w:vAlign w:val="center"/>
          </w:tcPr>
          <w:p w:rsidR="008D3EB9" w:rsidRPr="007708D7" w:rsidRDefault="008D3EB9" w:rsidP="007852D5">
            <w:pPr>
              <w:pStyle w:val="a3"/>
              <w:jc w:val="center"/>
              <w:rPr>
                <w:rFonts w:ascii="Times New Roman" w:eastAsia="Noto Sans SC" w:hAnsi="Times New Roman" w:cs="Times New Roman"/>
                <w:color w:val="000000"/>
                <w:sz w:val="27"/>
                <w:szCs w:val="27"/>
              </w:rPr>
            </w:pPr>
            <w:r w:rsidRPr="007708D7">
              <w:rPr>
                <w:rFonts w:ascii="Times New Roman" w:eastAsia="Noto Sans SC" w:hAnsi="Noto Sans SC" w:cs="Times New Roman"/>
                <w:color w:val="000000"/>
                <w:sz w:val="27"/>
                <w:szCs w:val="27"/>
              </w:rPr>
              <w:t>鼠</w:t>
            </w:r>
          </w:p>
        </w:tc>
      </w:tr>
    </w:tbl>
    <w:p w:rsidR="008D3EB9" w:rsidRPr="008D3EB9" w:rsidRDefault="008D3EB9" w:rsidP="00043055">
      <w:pPr>
        <w:pStyle w:val="a3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7708D7">
        <w:rPr>
          <w:rFonts w:ascii="Times New Roman" w:eastAsia="仿宋" w:hAnsi="仿宋" w:cs="Times New Roman"/>
          <w:color w:val="000000"/>
          <w:sz w:val="32"/>
          <w:szCs w:val="32"/>
        </w:rPr>
        <w:t>所投药品需满足以上有效成分及剂型，具有三证（产品农药登记证、生产许可证或农药生产批准证书、企业标准证书）投标文件中须提供三证扫描件</w:t>
      </w:r>
      <w:r w:rsidR="007E50F1">
        <w:rPr>
          <w:rFonts w:ascii="Times New Roman" w:eastAsia="仿宋" w:hAnsi="仿宋" w:cs="Times New Roman" w:hint="eastAsia"/>
          <w:color w:val="000000"/>
          <w:sz w:val="32"/>
          <w:szCs w:val="32"/>
        </w:rPr>
        <w:t>复印件</w:t>
      </w:r>
      <w:r w:rsidRPr="007708D7">
        <w:rPr>
          <w:rFonts w:ascii="Times New Roman" w:eastAsia="仿宋" w:hAnsi="仿宋" w:cs="Times New Roman"/>
          <w:color w:val="000000"/>
          <w:sz w:val="32"/>
          <w:szCs w:val="32"/>
        </w:rPr>
        <w:t>，并对所喷洒药品成分</w:t>
      </w:r>
      <w:r w:rsidRPr="008D3EB9">
        <w:rPr>
          <w:rFonts w:ascii="仿宋" w:eastAsia="仿宋" w:hAnsi="仿宋" w:hint="eastAsia"/>
          <w:color w:val="000000"/>
          <w:sz w:val="32"/>
          <w:szCs w:val="32"/>
        </w:rPr>
        <w:t>及配比予以说明。</w:t>
      </w:r>
    </w:p>
    <w:p w:rsidR="008D3EB9" w:rsidRDefault="008D3EB9">
      <w:pPr>
        <w:rPr>
          <w:rFonts w:ascii="Times New Roman" w:eastAsia="仿宋" w:hAnsi="Times New Roman" w:cs="Times New Roman"/>
          <w:sz w:val="32"/>
          <w:szCs w:val="32"/>
        </w:rPr>
      </w:pPr>
    </w:p>
    <w:p w:rsidR="00974057" w:rsidRDefault="00974057">
      <w:pPr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974057" w:rsidSect="001E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22" w:rsidRDefault="000B5222" w:rsidP="00501DE5">
      <w:r>
        <w:separator/>
      </w:r>
    </w:p>
  </w:endnote>
  <w:endnote w:type="continuationSeparator" w:id="0">
    <w:p w:rsidR="000B5222" w:rsidRDefault="000B5222" w:rsidP="0050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to Sans SC">
    <w:altName w:val="Arial Unicode MS"/>
    <w:charset w:val="86"/>
    <w:family w:val="swiss"/>
    <w:pitch w:val="variable"/>
    <w:sig w:usb0="00000000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22" w:rsidRDefault="000B5222" w:rsidP="00501DE5">
      <w:r>
        <w:separator/>
      </w:r>
    </w:p>
  </w:footnote>
  <w:footnote w:type="continuationSeparator" w:id="0">
    <w:p w:rsidR="000B5222" w:rsidRDefault="000B5222" w:rsidP="0050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EB9"/>
    <w:rsid w:val="00030B38"/>
    <w:rsid w:val="00043055"/>
    <w:rsid w:val="00046165"/>
    <w:rsid w:val="000B5222"/>
    <w:rsid w:val="001761B3"/>
    <w:rsid w:val="001B521D"/>
    <w:rsid w:val="001E7509"/>
    <w:rsid w:val="0024467E"/>
    <w:rsid w:val="00260584"/>
    <w:rsid w:val="00291839"/>
    <w:rsid w:val="002D7376"/>
    <w:rsid w:val="004231C7"/>
    <w:rsid w:val="004658B8"/>
    <w:rsid w:val="00501DE5"/>
    <w:rsid w:val="0067015D"/>
    <w:rsid w:val="00735BE9"/>
    <w:rsid w:val="007708D7"/>
    <w:rsid w:val="007E50F1"/>
    <w:rsid w:val="007F6DE0"/>
    <w:rsid w:val="008D3EB9"/>
    <w:rsid w:val="00901540"/>
    <w:rsid w:val="00974057"/>
    <w:rsid w:val="009A3920"/>
    <w:rsid w:val="00A71FE0"/>
    <w:rsid w:val="00B21ABB"/>
    <w:rsid w:val="00BE0194"/>
    <w:rsid w:val="00D168C9"/>
    <w:rsid w:val="00D90560"/>
    <w:rsid w:val="00E1147F"/>
    <w:rsid w:val="00F33938"/>
    <w:rsid w:val="00F34D6D"/>
    <w:rsid w:val="00F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5B925C-B642-4641-B304-BE91AFBC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E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D3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0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01D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01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01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夏心怡</dc:creator>
  <cp:lastModifiedBy>HCX</cp:lastModifiedBy>
  <cp:revision>36</cp:revision>
  <dcterms:created xsi:type="dcterms:W3CDTF">2026-01-27T14:57:00Z</dcterms:created>
  <dcterms:modified xsi:type="dcterms:W3CDTF">2026-01-28T09:14:00Z</dcterms:modified>
</cp:coreProperties>
</file>